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18775C">
        <w:rPr>
          <w:rFonts w:ascii="MiloOT-Medi" w:hAnsi="MiloOT-Medi" w:cstheme="minorHAnsi"/>
          <w:color w:val="00AB96"/>
          <w:sz w:val="16"/>
          <w:szCs w:val="16"/>
        </w:rPr>
      </w:r>
      <w:r w:rsidR="0018775C">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18775C">
        <w:rPr>
          <w:rFonts w:ascii="MiloOT-Medi" w:hAnsi="MiloOT-Medi"/>
          <w:color w:val="002F5D"/>
          <w:sz w:val="16"/>
          <w:szCs w:val="16"/>
        </w:rPr>
      </w:r>
      <w:r w:rsidR="0018775C">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18775C">
        <w:rPr>
          <w:rFonts w:ascii="MiloOT-Light" w:hAnsi="MiloOT-Light"/>
          <w:color w:val="002F5D"/>
          <w:sz w:val="16"/>
          <w:szCs w:val="16"/>
        </w:rPr>
      </w:r>
      <w:r w:rsidR="0018775C">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18775C">
        <w:rPr>
          <w:rFonts w:ascii="MiloOT-Light" w:hAnsi="MiloOT-Light"/>
          <w:color w:val="002F5D"/>
          <w:sz w:val="16"/>
          <w:szCs w:val="16"/>
        </w:rPr>
      </w:r>
      <w:r w:rsidR="0018775C">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18775C">
        <w:rPr>
          <w:rFonts w:ascii="MiloOT-Light" w:hAnsi="MiloOT-Light"/>
          <w:color w:val="002F5D"/>
          <w:sz w:val="16"/>
          <w:szCs w:val="16"/>
        </w:rPr>
      </w:r>
      <w:r w:rsidR="0018775C">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18775C">
        <w:rPr>
          <w:rFonts w:ascii="MiloOT-Light" w:hAnsi="MiloOT-Light"/>
          <w:color w:val="002F5D"/>
          <w:sz w:val="16"/>
          <w:szCs w:val="16"/>
        </w:rPr>
      </w:r>
      <w:r w:rsidR="0018775C">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Verbandswww"/>
            <w:enabled w:val="0"/>
            <w:calcOnExit w:val="0"/>
            <w:ddList>
              <w:result w:val="2"/>
              <w:listEntry w:val="www.wohnenundbuero.de"/>
              <w:listEntry w:val="www.wohnenundbuero.de"/>
              <w:listEntry w:val="www.wohnenundbuero.de"/>
              <w:listEntry w:val="www.wohnenundbuero.de"/>
              <w:listEntry w:val="www.wohnenundbuero.de"/>
              <w:listEntry w:val="www.wohnenundbuero.de"/>
            </w:ddList>
          </w:ffData>
        </w:fldChar>
      </w:r>
      <w:bookmarkStart w:id="4" w:name="Verbandswww"/>
      <w:r w:rsidR="00727AF2">
        <w:rPr>
          <w:rFonts w:ascii="MiloOT-Light" w:hAnsi="MiloOT-Light"/>
          <w:color w:val="002F5D"/>
          <w:sz w:val="16"/>
          <w:szCs w:val="16"/>
        </w:rPr>
        <w:instrText xml:space="preserve"> FORMDROPDOWN </w:instrText>
      </w:r>
      <w:r w:rsidR="0018775C">
        <w:rPr>
          <w:rFonts w:ascii="MiloOT-Light" w:hAnsi="MiloOT-Light"/>
          <w:color w:val="002F5D"/>
          <w:sz w:val="16"/>
          <w:szCs w:val="16"/>
        </w:rPr>
      </w:r>
      <w:r w:rsidR="0018775C">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D33717"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DD75CD">
      <w:pPr>
        <w:spacing w:after="120" w:line="280" w:lineRule="exact"/>
        <w:ind w:right="-29"/>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18775C">
        <w:rPr>
          <w:noProof/>
          <w:sz w:val="21"/>
          <w:szCs w:val="21"/>
        </w:rPr>
        <w:t>22</w:t>
      </w:r>
      <w:r w:rsidR="00D33717">
        <w:rPr>
          <w:noProof/>
          <w:sz w:val="21"/>
          <w:szCs w:val="21"/>
        </w:rPr>
        <w:t>. Januar 2021</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D33717" w:rsidP="0018775C">
      <w:pPr>
        <w:spacing w:after="120" w:line="300" w:lineRule="exact"/>
        <w:ind w:right="-28"/>
        <w:jc w:val="both"/>
        <w:rPr>
          <w:b/>
          <w:sz w:val="24"/>
          <w:szCs w:val="21"/>
        </w:rPr>
      </w:pPr>
      <w:bookmarkStart w:id="5" w:name="Anschrift"/>
      <w:bookmarkEnd w:id="5"/>
      <w:r w:rsidRPr="00D33717">
        <w:rPr>
          <w:b/>
          <w:sz w:val="24"/>
          <w:szCs w:val="21"/>
        </w:rPr>
        <w:lastRenderedPageBreak/>
        <w:t>Kirk Mangels in den Vorstand des BVDM kooptiert</w:t>
      </w:r>
    </w:p>
    <w:p w:rsidR="00DD75CD" w:rsidRPr="00F71684" w:rsidRDefault="00D33717" w:rsidP="0018775C">
      <w:pPr>
        <w:spacing w:after="240" w:line="300" w:lineRule="exact"/>
        <w:ind w:right="-28"/>
        <w:jc w:val="both"/>
        <w:rPr>
          <w:b/>
          <w:sz w:val="21"/>
          <w:szCs w:val="21"/>
        </w:rPr>
      </w:pPr>
      <w:r w:rsidRPr="00D33717">
        <w:rPr>
          <w:b/>
          <w:sz w:val="21"/>
          <w:szCs w:val="21"/>
        </w:rPr>
        <w:t>Der Vorstand des Handels</w:t>
      </w:r>
      <w:r>
        <w:rPr>
          <w:b/>
          <w:sz w:val="21"/>
          <w:szCs w:val="21"/>
        </w:rPr>
        <w:t>verbandes Möbel und Küchen (BVDM</w:t>
      </w:r>
      <w:r w:rsidRPr="00D33717">
        <w:rPr>
          <w:b/>
          <w:sz w:val="21"/>
          <w:szCs w:val="21"/>
        </w:rPr>
        <w:t>) hat in seiner Sitzung im November 202</w:t>
      </w:r>
      <w:r>
        <w:rPr>
          <w:b/>
          <w:sz w:val="21"/>
          <w:szCs w:val="21"/>
        </w:rPr>
        <w:t>0 Kirk Mangels (MHK Group)</w:t>
      </w:r>
      <w:r w:rsidRPr="00D33717">
        <w:rPr>
          <w:b/>
          <w:sz w:val="21"/>
          <w:szCs w:val="21"/>
        </w:rPr>
        <w:t xml:space="preserve"> in das Gremium kooptiert. Mit diesem Schritt baut der BVDM seine Fachkompetenz weiter aus.</w:t>
      </w:r>
    </w:p>
    <w:p w:rsidR="00D33717" w:rsidRPr="00D33717" w:rsidRDefault="00D33717" w:rsidP="0018775C">
      <w:pPr>
        <w:spacing w:before="120" w:line="360" w:lineRule="auto"/>
        <w:ind w:right="-28"/>
        <w:jc w:val="both"/>
        <w:rPr>
          <w:sz w:val="21"/>
          <w:szCs w:val="21"/>
        </w:rPr>
      </w:pPr>
      <w:r w:rsidRPr="00D33717">
        <w:rPr>
          <w:sz w:val="21"/>
          <w:szCs w:val="21"/>
        </w:rPr>
        <w:t>Der Diplom-Ökonom verfügt über langjährige Branchenerfahrung</w:t>
      </w:r>
      <w:r>
        <w:rPr>
          <w:sz w:val="21"/>
          <w:szCs w:val="21"/>
        </w:rPr>
        <w:t>,</w:t>
      </w:r>
      <w:r w:rsidRPr="00D33717">
        <w:rPr>
          <w:sz w:val="21"/>
          <w:szCs w:val="21"/>
        </w:rPr>
        <w:t xml:space="preserve"> stieg 2007 als Wirtschaftsredakteur in die markt intern Verlag GmbH ein. Ab 2008 zeichnete er unter anderem für die Redaktion Möbel-Fachhandel als Chefredakteur verantwortlich</w:t>
      </w:r>
      <w:r>
        <w:rPr>
          <w:sz w:val="21"/>
          <w:szCs w:val="21"/>
        </w:rPr>
        <w:t>.</w:t>
      </w:r>
      <w:r w:rsidRPr="00D33717">
        <w:rPr>
          <w:sz w:val="21"/>
          <w:szCs w:val="21"/>
        </w:rPr>
        <w:t xml:space="preserve"> Später grü</w:t>
      </w:r>
      <w:r>
        <w:rPr>
          <w:sz w:val="21"/>
          <w:szCs w:val="21"/>
        </w:rPr>
        <w:t>ndete Kirk Mangels</w:t>
      </w:r>
      <w:r w:rsidRPr="00D33717">
        <w:rPr>
          <w:sz w:val="21"/>
          <w:szCs w:val="21"/>
        </w:rPr>
        <w:t xml:space="preserve"> die verlagseigene Unternehmensberatung die Düsseldorfer mi+ Consulting GmbH und wurde ihr Geschäftsführer. Am 1. November 2013 übernahm Kirk Mangels die Geschäftsführung der Arbeitsgemeinschaft </w:t>
      </w:r>
      <w:r w:rsidR="00EB7BBC">
        <w:rPr>
          <w:sz w:val="21"/>
          <w:szCs w:val="21"/>
        </w:rPr>
        <w:t>Die Moderne Küche e.V. (AMK) inklusive</w:t>
      </w:r>
      <w:r w:rsidRPr="00D33717">
        <w:rPr>
          <w:sz w:val="21"/>
          <w:szCs w:val="21"/>
        </w:rPr>
        <w:t xml:space="preserve"> der nationalen und internationalen Tochtergesellschaften. Seit 2018 ist er als Vorstand der Dreieicher MHK Group für die Bereiche Marketing, Unternehmenskommunikation, Bildungseinrichtungen und Digitalisieru</w:t>
      </w:r>
      <w:bookmarkStart w:id="6" w:name="_GoBack"/>
      <w:bookmarkEnd w:id="6"/>
      <w:r w:rsidRPr="00D33717">
        <w:rPr>
          <w:sz w:val="21"/>
          <w:szCs w:val="21"/>
        </w:rPr>
        <w:t>ng zuständig.</w:t>
      </w:r>
    </w:p>
    <w:p w:rsidR="00F71684" w:rsidRDefault="00D33717" w:rsidP="0018775C">
      <w:pPr>
        <w:spacing w:before="120" w:line="360" w:lineRule="auto"/>
        <w:ind w:right="-28"/>
        <w:jc w:val="both"/>
        <w:rPr>
          <w:sz w:val="21"/>
          <w:szCs w:val="21"/>
        </w:rPr>
      </w:pPr>
      <w:r w:rsidRPr="00D33717">
        <w:rPr>
          <w:sz w:val="21"/>
          <w:szCs w:val="21"/>
        </w:rPr>
        <w:t>BVDM-Präsidiumsmitglied Markus Meyer erklärt: „Kirk Mangels ist in der Branche seit über einem Jahrzehnt bestens vernetzt und mit vielen Unternehmen persönlich verbunden. Wir freuen uns, dass wir mit ihm einen Brancheninsider gewonnen haben, der durch seine Kooptation in den Vorstand die Arbeit des Hande</w:t>
      </w:r>
      <w:r w:rsidR="00EB7BBC">
        <w:rPr>
          <w:sz w:val="21"/>
          <w:szCs w:val="21"/>
        </w:rPr>
        <w:t xml:space="preserve">lsverbandes </w:t>
      </w:r>
      <w:r w:rsidRPr="00D33717">
        <w:rPr>
          <w:sz w:val="21"/>
          <w:szCs w:val="21"/>
        </w:rPr>
        <w:t>Möbel</w:t>
      </w:r>
      <w:r w:rsidR="00EB7BBC">
        <w:rPr>
          <w:sz w:val="21"/>
          <w:szCs w:val="21"/>
        </w:rPr>
        <w:t xml:space="preserve"> und Küchen</w:t>
      </w:r>
      <w:r w:rsidRPr="00D33717">
        <w:rPr>
          <w:sz w:val="21"/>
          <w:szCs w:val="21"/>
        </w:rPr>
        <w:t xml:space="preserve"> </w:t>
      </w:r>
      <w:r w:rsidR="00EB7BBC">
        <w:rPr>
          <w:sz w:val="21"/>
          <w:szCs w:val="21"/>
        </w:rPr>
        <w:t xml:space="preserve">tatkräftig </w:t>
      </w:r>
      <w:r w:rsidRPr="00D33717">
        <w:rPr>
          <w:sz w:val="21"/>
          <w:szCs w:val="21"/>
        </w:rPr>
        <w:t>unterstützt</w:t>
      </w:r>
      <w:r w:rsidR="00EB7BBC">
        <w:rPr>
          <w:sz w:val="21"/>
          <w:szCs w:val="21"/>
        </w:rPr>
        <w:t xml:space="preserve">. </w:t>
      </w:r>
      <w:r w:rsidRPr="00D33717">
        <w:rPr>
          <w:sz w:val="21"/>
          <w:szCs w:val="21"/>
        </w:rPr>
        <w:t xml:space="preserve">Herr Mangels bringt durch seine verschiedenen Tätigkeiten </w:t>
      </w:r>
      <w:r w:rsidR="00AA2894">
        <w:rPr>
          <w:sz w:val="21"/>
          <w:szCs w:val="21"/>
        </w:rPr>
        <w:t>eine hohe Handelsexpertise mit.</w:t>
      </w:r>
      <w:r w:rsidRPr="00D33717">
        <w:rPr>
          <w:sz w:val="21"/>
          <w:szCs w:val="21"/>
        </w:rPr>
        <w:t>“</w:t>
      </w:r>
    </w:p>
    <w:p w:rsidR="00F71684" w:rsidRPr="00F71684" w:rsidRDefault="00F71684" w:rsidP="0018775C">
      <w:pPr>
        <w:spacing w:before="120" w:line="240" w:lineRule="exact"/>
        <w:ind w:right="-28"/>
        <w:jc w:val="both"/>
        <w:rPr>
          <w:sz w:val="18"/>
          <w:szCs w:val="18"/>
        </w:rPr>
      </w:pPr>
      <w:r w:rsidRPr="00F71684">
        <w:rPr>
          <w:sz w:val="18"/>
          <w:szCs w:val="18"/>
        </w:rPr>
        <w:t xml:space="preserve">Der </w:t>
      </w:r>
      <w:r w:rsidR="00CD670C">
        <w:rPr>
          <w:sz w:val="18"/>
          <w:szCs w:val="18"/>
        </w:rPr>
        <w:t xml:space="preserve">Handelsverband </w:t>
      </w:r>
      <w:r w:rsidRPr="00F71684">
        <w:rPr>
          <w:sz w:val="18"/>
          <w:szCs w:val="18"/>
        </w:rPr>
        <w:t>Möbel</w:t>
      </w:r>
      <w:r w:rsidR="00CD670C">
        <w:rPr>
          <w:sz w:val="18"/>
          <w:szCs w:val="18"/>
        </w:rPr>
        <w:t xml:space="preserve"> und Küchen</w:t>
      </w:r>
      <w:r w:rsidRPr="00F71684">
        <w:rPr>
          <w:sz w:val="18"/>
          <w:szCs w:val="18"/>
        </w:rPr>
        <w:t xml:space="preserve"> (BVDM) ist die berufspolitische und branchenfachliche Interessenvertretung des Fachhandels mit Möbeln, Küchen, und Einrichtungsgegenständen in Deutschland. Der Verband vertritt die Interessen von rund 8.500 Unternehmen an rund 10.000 Standor</w:t>
      </w:r>
      <w:r w:rsidR="00231735">
        <w:rPr>
          <w:sz w:val="18"/>
          <w:szCs w:val="18"/>
        </w:rPr>
        <w:t>ten mit ca. 14</w:t>
      </w:r>
      <w:r w:rsidRPr="00F71684">
        <w:rPr>
          <w:sz w:val="18"/>
          <w:szCs w:val="18"/>
        </w:rPr>
        <w:t xml:space="preserve">0.000 Beschäftigten. Der BVDM ist </w:t>
      </w:r>
      <w:r w:rsidR="00CD670C">
        <w:rPr>
          <w:sz w:val="18"/>
          <w:szCs w:val="18"/>
        </w:rPr>
        <w:t>F</w:t>
      </w:r>
      <w:r w:rsidRPr="00F71684">
        <w:rPr>
          <w:sz w:val="18"/>
          <w:szCs w:val="18"/>
        </w:rPr>
        <w:t>achverband im Handelsverband Deutschland (HDE).</w:t>
      </w:r>
    </w:p>
    <w:p w:rsidR="00CD670C" w:rsidRPr="00CD670C" w:rsidRDefault="00CD670C" w:rsidP="0018775C">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18775C">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717" w:rsidRDefault="00D33717">
      <w:r>
        <w:separator/>
      </w:r>
    </w:p>
  </w:endnote>
  <w:endnote w:type="continuationSeparator" w:id="0">
    <w:p w:rsidR="00D33717" w:rsidRDefault="00D3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717" w:rsidRDefault="00D33717">
      <w:r>
        <w:separator/>
      </w:r>
    </w:p>
  </w:footnote>
  <w:footnote w:type="continuationSeparator" w:id="0">
    <w:p w:rsidR="00D33717" w:rsidRDefault="00D33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231735">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17"/>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8775C"/>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1735"/>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894"/>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3717"/>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B7BBC"/>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5E03FF"/>
  <w15:docId w15:val="{1A9B09CD-21A2-4667-B4F6-03EAB3C5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7297-8261-421C-B5F2-C171626B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1</Pages>
  <Words>334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2021-01-22T08:40:00Z</cp:lastPrinted>
  <dcterms:created xsi:type="dcterms:W3CDTF">2021-01-21T10:22:00Z</dcterms:created>
  <dcterms:modified xsi:type="dcterms:W3CDTF">2021-01-22T08:41:00Z</dcterms:modified>
  <cp:contentStatus/>
</cp:coreProperties>
</file>